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D80" w:rsidRDefault="000F2D80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hAnsi="Arial" w:cs="Arial"/>
          <w:i/>
          <w:sz w:val="24"/>
          <w:lang w:eastAsia="zh-CN"/>
        </w:rPr>
      </w:pPr>
      <w:r>
        <w:rPr>
          <w:rFonts w:ascii="Arial" w:hAnsi="Arial" w:cs="Arial"/>
          <w:sz w:val="24"/>
        </w:rPr>
        <w:t>TSG-RAN Wor</w:t>
      </w:r>
      <w:r w:rsidR="00CD5405">
        <w:rPr>
          <w:rFonts w:ascii="Arial" w:hAnsi="Arial" w:cs="Arial"/>
          <w:sz w:val="24"/>
        </w:rPr>
        <w:t xml:space="preserve">king Group 4 (Radio) </w:t>
      </w:r>
      <w:r w:rsidR="00347D1D">
        <w:rPr>
          <w:rFonts w:ascii="Arial" w:hAnsi="Arial" w:cs="Arial"/>
          <w:sz w:val="24"/>
        </w:rPr>
        <w:t>#8</w:t>
      </w:r>
      <w:r w:rsidR="00CD3BD4">
        <w:rPr>
          <w:rFonts w:ascii="Arial" w:hAnsi="Arial" w:cs="Arial"/>
          <w:sz w:val="24"/>
        </w:rPr>
        <w:t>4</w:t>
      </w:r>
      <w:r w:rsidR="003A4994">
        <w:rPr>
          <w:rFonts w:ascii="Arial" w:hAnsi="Arial" w:cs="Arial"/>
          <w:sz w:val="24"/>
        </w:rPr>
        <w:t xml:space="preserve"> </w:t>
      </w:r>
      <w:r w:rsidR="00CD5405">
        <w:rPr>
          <w:rFonts w:ascii="Arial" w:hAnsi="Arial" w:cs="Arial"/>
          <w:sz w:val="24"/>
        </w:rPr>
        <w:t>meeting</w:t>
      </w:r>
      <w:r>
        <w:rPr>
          <w:rFonts w:ascii="Arial" w:hAnsi="Arial" w:cs="Arial"/>
          <w:i/>
          <w:sz w:val="24"/>
        </w:rPr>
        <w:tab/>
      </w:r>
      <w:r w:rsidR="00C4181F" w:rsidRPr="00C4181F">
        <w:rPr>
          <w:rFonts w:ascii="Arial" w:hAnsi="Arial" w:cs="Arial"/>
          <w:iCs/>
          <w:sz w:val="24"/>
          <w:lang w:eastAsia="zh-CN"/>
        </w:rPr>
        <w:t>R4-17</w:t>
      </w:r>
      <w:r w:rsidR="00A74F7C" w:rsidRPr="00A74F7C">
        <w:t xml:space="preserve"> </w:t>
      </w:r>
      <w:r w:rsidR="00A74F7C" w:rsidRPr="00A74F7C">
        <w:rPr>
          <w:rFonts w:ascii="Arial" w:hAnsi="Arial" w:cs="Arial"/>
          <w:iCs/>
          <w:sz w:val="24"/>
          <w:lang w:eastAsia="zh-CN"/>
        </w:rPr>
        <w:t>07071</w:t>
      </w:r>
      <w:bookmarkStart w:id="0" w:name="_GoBack"/>
      <w:bookmarkEnd w:id="0"/>
    </w:p>
    <w:p w:rsidR="000F2D80" w:rsidRDefault="00CD3BD4">
      <w:pPr>
        <w:pStyle w:val="Header"/>
        <w:tabs>
          <w:tab w:val="right" w:pos="10206"/>
        </w:tabs>
        <w:spacing w:after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Berlin</w:t>
      </w:r>
      <w:r w:rsidR="00347D1D" w:rsidRPr="00347D1D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>Germany</w:t>
      </w:r>
      <w:r w:rsidR="001B3C21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>21</w:t>
      </w:r>
      <w:r w:rsidR="001B3C21">
        <w:rPr>
          <w:rFonts w:ascii="Arial" w:hAnsi="Arial" w:cs="Arial"/>
          <w:sz w:val="24"/>
        </w:rPr>
        <w:t xml:space="preserve"> - </w:t>
      </w:r>
      <w:r>
        <w:rPr>
          <w:rFonts w:ascii="Arial" w:hAnsi="Arial" w:cs="Arial"/>
          <w:sz w:val="24"/>
        </w:rPr>
        <w:t>25</w:t>
      </w:r>
      <w:r w:rsidR="00347D1D" w:rsidRPr="00347D1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August</w:t>
      </w:r>
      <w:r w:rsidR="00347D1D" w:rsidRPr="00347D1D">
        <w:rPr>
          <w:rFonts w:ascii="Arial" w:hAnsi="Arial" w:cs="Arial"/>
          <w:sz w:val="24"/>
        </w:rPr>
        <w:t>, 2017</w:t>
      </w:r>
    </w:p>
    <w:p w:rsidR="000F2D80" w:rsidRDefault="000F2D80">
      <w:pPr>
        <w:spacing w:after="120"/>
        <w:ind w:left="1985" w:hanging="1985"/>
        <w:rPr>
          <w:rFonts w:ascii="Arial" w:hAnsi="Arial" w:cs="Arial"/>
          <w:b/>
        </w:rPr>
      </w:pPr>
    </w:p>
    <w:p w:rsidR="000F2D80" w:rsidRPr="00CD5405" w:rsidRDefault="000F2D80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7D1D">
        <w:rPr>
          <w:rFonts w:ascii="Arial" w:hAnsi="Arial" w:cs="Arial"/>
          <w:bCs/>
        </w:rPr>
        <w:t>Samsung</w:t>
      </w:r>
    </w:p>
    <w:p w:rsidR="000F2D80" w:rsidRDefault="000F2D80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6955" w:rsidRPr="00C96955">
        <w:rPr>
          <w:rFonts w:ascii="Arial" w:hAnsi="Arial" w:cs="Arial"/>
          <w:bCs/>
        </w:rPr>
        <w:t>MPR evaluation results for sub 6GHz</w:t>
      </w:r>
    </w:p>
    <w:p w:rsidR="000F2D80" w:rsidRPr="004835B4" w:rsidRDefault="000F2D80">
      <w:pPr>
        <w:spacing w:after="120"/>
        <w:ind w:left="1985" w:hanging="1985"/>
        <w:rPr>
          <w:rFonts w:ascii="Arial" w:hAnsi="Arial" w:cs="Arial"/>
          <w:bCs/>
          <w:color w:val="FF0000"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96955" w:rsidRPr="00C96955">
        <w:rPr>
          <w:rFonts w:ascii="Arial" w:hAnsi="Arial" w:cs="Arial"/>
          <w:bCs/>
          <w:lang w:eastAsia="zh-CN"/>
        </w:rPr>
        <w:t>9.</w:t>
      </w:r>
      <w:r w:rsidR="00C96955" w:rsidRPr="00C96955">
        <w:rPr>
          <w:rFonts w:ascii="Arial" w:hAnsi="Arial" w:cs="Arial"/>
          <w:bCs/>
        </w:rPr>
        <w:t>4.3.1.2</w:t>
      </w:r>
    </w:p>
    <w:p w:rsidR="000F2D80" w:rsidRDefault="000F2D80">
      <w:pPr>
        <w:spacing w:after="120"/>
        <w:ind w:left="1985" w:hanging="1985"/>
        <w:rPr>
          <w:rFonts w:ascii="Arial" w:hAnsi="Arial" w:cs="Arial"/>
          <w:bCs/>
          <w:color w:val="FF0000"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1596A">
        <w:rPr>
          <w:rFonts w:ascii="Arial" w:hAnsi="Arial" w:cs="Arial" w:hint="eastAsia"/>
          <w:bCs/>
          <w:lang w:eastAsia="zh-CN"/>
        </w:rPr>
        <w:t>Discussion</w:t>
      </w:r>
    </w:p>
    <w:p w:rsidR="00C82A04" w:rsidRDefault="00C82A04">
      <w:pPr>
        <w:pBdr>
          <w:bottom w:val="single" w:sz="4" w:space="1" w:color="auto"/>
        </w:pBdr>
        <w:rPr>
          <w:rFonts w:ascii="Arial" w:hAnsi="Arial" w:cs="Arial"/>
        </w:rPr>
      </w:pPr>
    </w:p>
    <w:p w:rsidR="000F2D80" w:rsidRDefault="000F2D80">
      <w:pPr>
        <w:rPr>
          <w:rFonts w:ascii="Arial" w:hAnsi="Arial" w:cs="Arial"/>
        </w:rPr>
      </w:pPr>
    </w:p>
    <w:p w:rsidR="00172F1C" w:rsidRDefault="008E762A" w:rsidP="00172F1C">
      <w:pPr>
        <w:pStyle w:val="Heading1"/>
        <w:numPr>
          <w:ilvl w:val="0"/>
          <w:numId w:val="4"/>
        </w:numPr>
        <w:ind w:hanging="720"/>
      </w:pPr>
      <w:r>
        <w:t>Background</w:t>
      </w:r>
    </w:p>
    <w:p w:rsidR="00E74BD0" w:rsidRDefault="00C96955" w:rsidP="00122A66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In RAN4 NR AdHoc2, MPR </w:t>
      </w:r>
      <w:r w:rsidR="00E74BD0">
        <w:rPr>
          <w:lang w:val="en-US" w:eastAsia="zh-CN"/>
        </w:rPr>
        <w:t>evaluation</w:t>
      </w:r>
      <w:r>
        <w:rPr>
          <w:lang w:val="en-US" w:eastAsia="zh-CN"/>
        </w:rPr>
        <w:t xml:space="preserve"> assumptions are agreed in [1]</w:t>
      </w:r>
      <w:r w:rsidR="00E74BD0">
        <w:rPr>
          <w:lang w:val="en-US" w:eastAsia="zh-CN"/>
        </w:rPr>
        <w:t>. There are 8 test cased defined for calibration.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37"/>
        <w:gridCol w:w="1631"/>
        <w:gridCol w:w="1186"/>
        <w:gridCol w:w="682"/>
        <w:gridCol w:w="1245"/>
        <w:gridCol w:w="3972"/>
      </w:tblGrid>
      <w:tr w:rsidR="00E74BD0" w:rsidRPr="00B547CB" w:rsidTr="00D07E43">
        <w:trPr>
          <w:trHeight w:val="332"/>
        </w:trPr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b/>
                <w:bCs/>
                <w:sz w:val="12"/>
                <w:szCs w:val="12"/>
                <w:lang w:val="en-CA"/>
              </w:rPr>
              <w:t>Waveform type</w:t>
            </w:r>
          </w:p>
        </w:tc>
        <w:tc>
          <w:tcPr>
            <w:tcW w:w="80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b/>
                <w:bCs/>
                <w:sz w:val="12"/>
                <w:szCs w:val="12"/>
                <w:lang w:val="en-CA"/>
              </w:rPr>
              <w:t>Modulation order</w:t>
            </w:r>
          </w:p>
        </w:tc>
        <w:tc>
          <w:tcPr>
            <w:tcW w:w="584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b/>
                <w:bCs/>
                <w:sz w:val="12"/>
                <w:szCs w:val="12"/>
                <w:lang w:val="en-CA"/>
              </w:rPr>
              <w:t>Channel BW</w:t>
            </w:r>
          </w:p>
        </w:tc>
        <w:tc>
          <w:tcPr>
            <w:tcW w:w="336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b/>
                <w:bCs/>
                <w:sz w:val="12"/>
                <w:szCs w:val="12"/>
                <w:lang w:val="en-CA"/>
              </w:rPr>
              <w:t xml:space="preserve">SCS </w:t>
            </w:r>
          </w:p>
        </w:tc>
        <w:tc>
          <w:tcPr>
            <w:tcW w:w="61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b/>
                <w:bCs/>
                <w:sz w:val="12"/>
                <w:szCs w:val="12"/>
                <w:lang w:val="en-CA"/>
              </w:rPr>
              <w:t>RB allocation</w:t>
            </w:r>
          </w:p>
        </w:tc>
        <w:tc>
          <w:tcPr>
            <w:tcW w:w="1955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b/>
                <w:bCs/>
                <w:sz w:val="12"/>
                <w:szCs w:val="12"/>
                <w:lang w:val="en-CA"/>
              </w:rPr>
              <w:t>remark</w:t>
            </w:r>
          </w:p>
        </w:tc>
      </w:tr>
      <w:tr w:rsidR="00E74BD0" w:rsidRPr="00B547CB" w:rsidTr="00D07E43">
        <w:trPr>
          <w:trHeight w:val="332"/>
        </w:trPr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DFT-s-OFDM</w:t>
            </w:r>
          </w:p>
        </w:tc>
        <w:tc>
          <w:tcPr>
            <w:tcW w:w="80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QPSK, 16QAM</w:t>
            </w:r>
          </w:p>
        </w:tc>
        <w:tc>
          <w:tcPr>
            <w:tcW w:w="584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20MHz</w:t>
            </w:r>
          </w:p>
        </w:tc>
        <w:tc>
          <w:tcPr>
            <w:tcW w:w="336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15kHz</w:t>
            </w:r>
          </w:p>
        </w:tc>
        <w:tc>
          <w:tcPr>
            <w:tcW w:w="61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100RB3</w:t>
            </w:r>
          </w:p>
        </w:tc>
        <w:tc>
          <w:tcPr>
            <w:tcW w:w="1955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Maximum DFT-s-OFDM allocation</w:t>
            </w:r>
          </w:p>
        </w:tc>
      </w:tr>
      <w:tr w:rsidR="00E74BD0" w:rsidRPr="00B547CB" w:rsidTr="00D07E43">
        <w:trPr>
          <w:trHeight w:val="332"/>
        </w:trPr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DFT-s-OFDM</w:t>
            </w:r>
          </w:p>
        </w:tc>
        <w:tc>
          <w:tcPr>
            <w:tcW w:w="80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QPSK, 16QAM</w:t>
            </w:r>
          </w:p>
        </w:tc>
        <w:tc>
          <w:tcPr>
            <w:tcW w:w="584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20MHz</w:t>
            </w:r>
          </w:p>
        </w:tc>
        <w:tc>
          <w:tcPr>
            <w:tcW w:w="336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15kHz</w:t>
            </w:r>
          </w:p>
        </w:tc>
        <w:tc>
          <w:tcPr>
            <w:tcW w:w="61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18RB0</w:t>
            </w:r>
          </w:p>
        </w:tc>
        <w:tc>
          <w:tcPr>
            <w:tcW w:w="1955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Channel edge (LTE 0dB MPR for QPSK)</w:t>
            </w:r>
          </w:p>
        </w:tc>
      </w:tr>
      <w:tr w:rsidR="00E74BD0" w:rsidRPr="00B547CB" w:rsidTr="00D07E43">
        <w:trPr>
          <w:trHeight w:val="332"/>
        </w:trPr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DFT-s-OFDM</w:t>
            </w:r>
          </w:p>
        </w:tc>
        <w:tc>
          <w:tcPr>
            <w:tcW w:w="80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QPSK, 16QAM</w:t>
            </w:r>
          </w:p>
        </w:tc>
        <w:tc>
          <w:tcPr>
            <w:tcW w:w="584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20MHz</w:t>
            </w:r>
          </w:p>
        </w:tc>
        <w:tc>
          <w:tcPr>
            <w:tcW w:w="336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15kHz</w:t>
            </w:r>
          </w:p>
        </w:tc>
        <w:tc>
          <w:tcPr>
            <w:tcW w:w="61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18RB18</w:t>
            </w:r>
          </w:p>
        </w:tc>
        <w:tc>
          <w:tcPr>
            <w:tcW w:w="1955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Inside channel</w:t>
            </w:r>
          </w:p>
        </w:tc>
      </w:tr>
      <w:tr w:rsidR="00E74BD0" w:rsidRPr="00B547CB" w:rsidTr="00D07E43">
        <w:trPr>
          <w:trHeight w:val="332"/>
        </w:trPr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DFT-s-OFDM</w:t>
            </w:r>
          </w:p>
        </w:tc>
        <w:tc>
          <w:tcPr>
            <w:tcW w:w="80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QPSK, 16QAM</w:t>
            </w:r>
          </w:p>
        </w:tc>
        <w:tc>
          <w:tcPr>
            <w:tcW w:w="584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100MHz</w:t>
            </w:r>
          </w:p>
        </w:tc>
        <w:tc>
          <w:tcPr>
            <w:tcW w:w="336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30kHz</w:t>
            </w:r>
          </w:p>
        </w:tc>
        <w:tc>
          <w:tcPr>
            <w:tcW w:w="61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270RB1</w:t>
            </w:r>
          </w:p>
        </w:tc>
        <w:tc>
          <w:tcPr>
            <w:tcW w:w="1955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Maximum channel BW</w:t>
            </w:r>
          </w:p>
        </w:tc>
      </w:tr>
      <w:tr w:rsidR="00E74BD0" w:rsidRPr="00B547CB" w:rsidTr="00D07E43">
        <w:trPr>
          <w:trHeight w:val="332"/>
        </w:trPr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CP-OFDM</w:t>
            </w:r>
          </w:p>
        </w:tc>
        <w:tc>
          <w:tcPr>
            <w:tcW w:w="80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QPSK, 16&amp;64QAM</w:t>
            </w:r>
          </w:p>
        </w:tc>
        <w:tc>
          <w:tcPr>
            <w:tcW w:w="584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20MHz</w:t>
            </w:r>
          </w:p>
        </w:tc>
        <w:tc>
          <w:tcPr>
            <w:tcW w:w="336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15kHz</w:t>
            </w:r>
          </w:p>
        </w:tc>
        <w:tc>
          <w:tcPr>
            <w:tcW w:w="61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106RB0</w:t>
            </w:r>
          </w:p>
        </w:tc>
        <w:tc>
          <w:tcPr>
            <w:tcW w:w="1955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Allocation for spectrum utilisation</w:t>
            </w:r>
          </w:p>
        </w:tc>
      </w:tr>
      <w:tr w:rsidR="00E74BD0" w:rsidRPr="00B547CB" w:rsidTr="00D07E43">
        <w:trPr>
          <w:trHeight w:val="332"/>
        </w:trPr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CP-OFDM</w:t>
            </w:r>
          </w:p>
        </w:tc>
        <w:tc>
          <w:tcPr>
            <w:tcW w:w="80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QPSK, 16&amp;64QAM</w:t>
            </w:r>
          </w:p>
        </w:tc>
        <w:tc>
          <w:tcPr>
            <w:tcW w:w="584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20MHz</w:t>
            </w:r>
          </w:p>
        </w:tc>
        <w:tc>
          <w:tcPr>
            <w:tcW w:w="336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15kHz</w:t>
            </w:r>
          </w:p>
        </w:tc>
        <w:tc>
          <w:tcPr>
            <w:tcW w:w="61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18RB0</w:t>
            </w:r>
          </w:p>
        </w:tc>
        <w:tc>
          <w:tcPr>
            <w:tcW w:w="1955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Channel Edge</w:t>
            </w:r>
          </w:p>
        </w:tc>
      </w:tr>
      <w:tr w:rsidR="00E74BD0" w:rsidRPr="00B547CB" w:rsidTr="00D07E43">
        <w:trPr>
          <w:trHeight w:val="332"/>
        </w:trPr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CP-OFDM</w:t>
            </w:r>
          </w:p>
        </w:tc>
        <w:tc>
          <w:tcPr>
            <w:tcW w:w="80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QPSK, 16&amp;64QAM</w:t>
            </w:r>
          </w:p>
        </w:tc>
        <w:tc>
          <w:tcPr>
            <w:tcW w:w="584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20MHz</w:t>
            </w:r>
          </w:p>
        </w:tc>
        <w:tc>
          <w:tcPr>
            <w:tcW w:w="336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15kHz</w:t>
            </w:r>
          </w:p>
        </w:tc>
        <w:tc>
          <w:tcPr>
            <w:tcW w:w="61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18RB18</w:t>
            </w:r>
          </w:p>
        </w:tc>
        <w:tc>
          <w:tcPr>
            <w:tcW w:w="1955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Inside Channel</w:t>
            </w:r>
          </w:p>
        </w:tc>
      </w:tr>
      <w:tr w:rsidR="00E74BD0" w:rsidRPr="00B547CB" w:rsidTr="00D07E43">
        <w:trPr>
          <w:trHeight w:val="332"/>
        </w:trPr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CP-OFDM</w:t>
            </w:r>
          </w:p>
        </w:tc>
        <w:tc>
          <w:tcPr>
            <w:tcW w:w="80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QPSK, 16&amp;64QAM</w:t>
            </w:r>
          </w:p>
        </w:tc>
        <w:tc>
          <w:tcPr>
            <w:tcW w:w="584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100MHz</w:t>
            </w:r>
          </w:p>
        </w:tc>
        <w:tc>
          <w:tcPr>
            <w:tcW w:w="336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30kHz</w:t>
            </w:r>
          </w:p>
        </w:tc>
        <w:tc>
          <w:tcPr>
            <w:tcW w:w="613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273RB0</w:t>
            </w:r>
          </w:p>
        </w:tc>
        <w:tc>
          <w:tcPr>
            <w:tcW w:w="1955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Allocation for spectrum utilisation &amp; max CH BW</w:t>
            </w:r>
          </w:p>
        </w:tc>
      </w:tr>
      <w:tr w:rsidR="00E74BD0" w:rsidRPr="00B547CB" w:rsidTr="00D07E43">
        <w:trPr>
          <w:trHeight w:val="531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Companies are encouraged to report reduced MPR and negative MPR cases</w:t>
            </w:r>
          </w:p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Companies are encouraged to report which criteria is limiting and when applicable which transmitter impairments drives the limitation</w:t>
            </w:r>
          </w:p>
          <w:p w:rsidR="00E74BD0" w:rsidRPr="00B547CB" w:rsidRDefault="00E74BD0" w:rsidP="00D07E43">
            <w:pPr>
              <w:ind w:firstLine="60"/>
              <w:rPr>
                <w:sz w:val="12"/>
                <w:szCs w:val="12"/>
              </w:rPr>
            </w:pPr>
            <w:r w:rsidRPr="00B547CB">
              <w:rPr>
                <w:sz w:val="12"/>
                <w:szCs w:val="12"/>
                <w:lang w:val="en-CA"/>
              </w:rPr>
              <w:t>Companies are encouraged to provide their view of Pi/2 BPSK use at sub-6GHz</w:t>
            </w:r>
          </w:p>
        </w:tc>
      </w:tr>
    </w:tbl>
    <w:p w:rsidR="00E74BD0" w:rsidRDefault="00E74BD0" w:rsidP="00122A66">
      <w:pPr>
        <w:spacing w:after="120"/>
        <w:rPr>
          <w:lang w:val="en-US" w:eastAsia="zh-CN"/>
        </w:rPr>
      </w:pPr>
    </w:p>
    <w:p w:rsidR="003966FD" w:rsidRDefault="005D51C3" w:rsidP="00122A66">
      <w:pPr>
        <w:spacing w:after="120"/>
      </w:pPr>
      <w:r>
        <w:t xml:space="preserve">This contribution </w:t>
      </w:r>
      <w:r w:rsidR="00C96955">
        <w:t>provides initial MPR simulation results for sub 6GHz frequency range for calibration.</w:t>
      </w:r>
      <w:r w:rsidR="003966FD">
        <w:t xml:space="preserve"> </w:t>
      </w:r>
    </w:p>
    <w:p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:rsidR="00172F1C" w:rsidRDefault="00172F1C" w:rsidP="00172F1C">
      <w:pPr>
        <w:rPr>
          <w:rFonts w:ascii="Arial" w:hAnsi="Arial" w:cs="Arial"/>
        </w:rPr>
      </w:pPr>
    </w:p>
    <w:p w:rsidR="00172F1C" w:rsidRDefault="00E74BD0" w:rsidP="00172F1C">
      <w:pPr>
        <w:pStyle w:val="Heading1"/>
        <w:numPr>
          <w:ilvl w:val="0"/>
          <w:numId w:val="4"/>
        </w:numPr>
        <w:ind w:hanging="720"/>
      </w:pPr>
      <w:r>
        <w:t>Discussion on simulation model</w:t>
      </w:r>
    </w:p>
    <w:p w:rsidR="0000552B" w:rsidRDefault="00E74BD0" w:rsidP="001865EE">
      <w:r>
        <w:t xml:space="preserve">Our simulation model includes windowing at baseband for spectrum confinement. Hann window is used with overlapping length equal to 2% of symbol length. PN model applies a CMOS model </w:t>
      </w:r>
      <w:r w:rsidR="0000552B">
        <w:t xml:space="preserve">in </w:t>
      </w:r>
      <w:r>
        <w:t>[2], down-scaled to 5GHz carrier frequency</w:t>
      </w:r>
      <w:r w:rsidR="00FD55D8">
        <w:t xml:space="preserve">. </w:t>
      </w:r>
    </w:p>
    <w:p w:rsidR="0000552B" w:rsidRDefault="0000552B" w:rsidP="001865EE"/>
    <w:p w:rsidR="008108CE" w:rsidRDefault="00FD55D8" w:rsidP="001865EE">
      <w:r>
        <w:t xml:space="preserve">PA model uses </w:t>
      </w:r>
      <w:r w:rsidR="0000552B">
        <w:t xml:space="preserve">the polynomial model provided in </w:t>
      </w:r>
      <w:r>
        <w:t>[</w:t>
      </w:r>
      <w:r w:rsidR="0000552B">
        <w:t>3</w:t>
      </w:r>
      <w:r>
        <w:t>]</w:t>
      </w:r>
      <w:r w:rsidR="0000552B">
        <w:t>. Some modifications on PA model are done</w:t>
      </w:r>
      <w:r w:rsidR="00781E3D">
        <w:t xml:space="preserve"> to cover a wide simulation range</w:t>
      </w:r>
      <w:r w:rsidR="0000552B">
        <w:t xml:space="preserve">. PA output is saturated at 29dBm. Otherwise, a dip from polynomial would show up. We also linearize AMAM and AMPM below Pin = -20dBm.  </w:t>
      </w:r>
    </w:p>
    <w:p w:rsidR="00C36DA9" w:rsidRDefault="00C36DA9" w:rsidP="00A52322"/>
    <w:p w:rsidR="00C36DA9" w:rsidRDefault="00C36DA9" w:rsidP="00C36DA9">
      <w:pPr>
        <w:jc w:val="center"/>
      </w:pPr>
      <w:r w:rsidRPr="00C36DA9">
        <w:rPr>
          <w:noProof/>
          <w:lang w:val="en-US"/>
        </w:rPr>
        <w:lastRenderedPageBreak/>
        <w:t xml:space="preserve"> </w:t>
      </w:r>
      <w:r w:rsidR="0000552B">
        <w:rPr>
          <w:noProof/>
          <w:lang w:val="en-US" w:eastAsia="zh-CN"/>
        </w:rPr>
        <w:drawing>
          <wp:inline distT="0" distB="0" distL="0" distR="0">
            <wp:extent cx="2991917" cy="240624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833"/>
                    <a:stretch/>
                  </pic:blipFill>
                  <pic:spPr bwMode="auto">
                    <a:xfrm>
                      <a:off x="0" y="0"/>
                      <a:ext cx="2990213" cy="2404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0552B" w:rsidRPr="0000552B">
        <w:rPr>
          <w:noProof/>
          <w:lang w:val="en-US"/>
        </w:rPr>
        <w:t xml:space="preserve"> </w:t>
      </w:r>
      <w:r w:rsidR="0000552B">
        <w:rPr>
          <w:noProof/>
          <w:lang w:val="en-US" w:eastAsia="zh-CN"/>
        </w:rPr>
        <w:drawing>
          <wp:inline distT="0" distB="0" distL="0" distR="0">
            <wp:extent cx="3209544" cy="240487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544" cy="2404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DA9" w:rsidRDefault="00C36DA9" w:rsidP="00C36DA9">
      <w:pPr>
        <w:jc w:val="center"/>
        <w:rPr>
          <w:rStyle w:val="Strong"/>
        </w:rPr>
      </w:pPr>
      <w:proofErr w:type="gramStart"/>
      <w:r w:rsidRPr="002868E0">
        <w:rPr>
          <w:rStyle w:val="Strong"/>
        </w:rPr>
        <w:t>Figure 1.</w:t>
      </w:r>
      <w:proofErr w:type="gramEnd"/>
      <w:r w:rsidRPr="002868E0">
        <w:rPr>
          <w:rStyle w:val="Strong"/>
        </w:rPr>
        <w:t xml:space="preserve"> </w:t>
      </w:r>
      <w:r>
        <w:rPr>
          <w:rStyle w:val="Strong"/>
        </w:rPr>
        <w:t xml:space="preserve">Left: </w:t>
      </w:r>
      <w:r w:rsidR="0000552B">
        <w:rPr>
          <w:rStyle w:val="Strong"/>
        </w:rPr>
        <w:t>modified AMAM response based on [3]</w:t>
      </w:r>
      <w:r>
        <w:rPr>
          <w:rStyle w:val="Strong"/>
        </w:rPr>
        <w:t xml:space="preserve">, </w:t>
      </w:r>
      <w:r w:rsidR="00A67800">
        <w:rPr>
          <w:rStyle w:val="Strong"/>
        </w:rPr>
        <w:t xml:space="preserve">Right: </w:t>
      </w:r>
      <w:r w:rsidR="0000552B">
        <w:rPr>
          <w:rStyle w:val="Strong"/>
        </w:rPr>
        <w:t>modified AMPM response based on [3]</w:t>
      </w:r>
      <w:r w:rsidR="009A3D35">
        <w:rPr>
          <w:rStyle w:val="Strong"/>
        </w:rPr>
        <w:t>.</w:t>
      </w:r>
    </w:p>
    <w:p w:rsidR="00C36DA9" w:rsidRDefault="00C36DA9" w:rsidP="00C36DA9">
      <w:pPr>
        <w:jc w:val="center"/>
      </w:pPr>
    </w:p>
    <w:p w:rsidR="003D2282" w:rsidRDefault="003D2282" w:rsidP="00A52322"/>
    <w:p w:rsidR="008108CE" w:rsidRDefault="00CF0C44" w:rsidP="00A52322">
      <w:r>
        <w:t xml:space="preserve">The </w:t>
      </w:r>
      <w:r w:rsidR="00A67800">
        <w:t xml:space="preserve">frontloaded DMRS is located at Symbol 0 and modelled </w:t>
      </w:r>
      <w:r w:rsidR="009A3D35">
        <w:t>with two ports using comb structure, i.e., every of the other RE</w:t>
      </w:r>
      <w:r w:rsidR="00B55F56">
        <w:t xml:space="preserve"> is used for</w:t>
      </w:r>
      <w:r w:rsidR="009A3D35">
        <w:t xml:space="preserve"> one DMRS port.</w:t>
      </w:r>
    </w:p>
    <w:p w:rsidR="009A3D35" w:rsidRDefault="009A3D35" w:rsidP="009A3D35">
      <w:pPr>
        <w:jc w:val="center"/>
      </w:pPr>
      <w:r w:rsidRPr="009A3D35">
        <w:rPr>
          <w:noProof/>
          <w:lang w:val="en-US" w:eastAsia="zh-CN"/>
        </w:rPr>
        <w:drawing>
          <wp:inline distT="0" distB="0" distL="0" distR="0">
            <wp:extent cx="3562350" cy="171894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71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8CE" w:rsidRDefault="008108CE" w:rsidP="002868E0">
      <w:pPr>
        <w:jc w:val="center"/>
      </w:pPr>
    </w:p>
    <w:p w:rsidR="008108CE" w:rsidRDefault="008108CE" w:rsidP="00CF0C44">
      <w:pPr>
        <w:jc w:val="center"/>
        <w:rPr>
          <w:rStyle w:val="Strong"/>
        </w:rPr>
      </w:pPr>
      <w:proofErr w:type="gramStart"/>
      <w:r w:rsidRPr="002868E0">
        <w:rPr>
          <w:rStyle w:val="Strong"/>
        </w:rPr>
        <w:t xml:space="preserve">Figure </w:t>
      </w:r>
      <w:r w:rsidR="00CF0C44">
        <w:rPr>
          <w:rStyle w:val="Strong"/>
        </w:rPr>
        <w:t>2</w:t>
      </w:r>
      <w:r w:rsidR="002868E0" w:rsidRPr="002868E0">
        <w:rPr>
          <w:rStyle w:val="Strong"/>
        </w:rPr>
        <w:t>.</w:t>
      </w:r>
      <w:proofErr w:type="gramEnd"/>
      <w:r w:rsidR="002868E0" w:rsidRPr="002868E0">
        <w:rPr>
          <w:rStyle w:val="Strong"/>
        </w:rPr>
        <w:t xml:space="preserve"> </w:t>
      </w:r>
      <w:proofErr w:type="gramStart"/>
      <w:r w:rsidR="009A3D35">
        <w:rPr>
          <w:rStyle w:val="Strong"/>
        </w:rPr>
        <w:t>sub6</w:t>
      </w:r>
      <w:proofErr w:type="gramEnd"/>
      <w:r w:rsidR="009A3D35">
        <w:rPr>
          <w:rStyle w:val="Strong"/>
        </w:rPr>
        <w:t xml:space="preserve"> NR frame structure</w:t>
      </w:r>
      <w:r w:rsidR="00CF0C44">
        <w:rPr>
          <w:rStyle w:val="Strong"/>
        </w:rPr>
        <w:t>.</w:t>
      </w:r>
    </w:p>
    <w:p w:rsidR="003D2282" w:rsidRDefault="003D2282" w:rsidP="003D2282">
      <w:pPr>
        <w:rPr>
          <w:rStyle w:val="Strong"/>
          <w:b w:val="0"/>
        </w:rPr>
      </w:pPr>
    </w:p>
    <w:p w:rsidR="003D2282" w:rsidRPr="003D2282" w:rsidRDefault="003D2282" w:rsidP="003D2282">
      <w:pPr>
        <w:rPr>
          <w:rStyle w:val="Strong"/>
          <w:b w:val="0"/>
        </w:rPr>
      </w:pPr>
      <w:r>
        <w:rPr>
          <w:rStyle w:val="Strong"/>
          <w:b w:val="0"/>
        </w:rPr>
        <w:t xml:space="preserve">For EVM measurement, EVM window is scaled-up based on 1.4MHz LTE setting. Frequency domain linear interpolation is performed for channel estimation to </w:t>
      </w:r>
      <w:r w:rsidR="0040024F">
        <w:rPr>
          <w:rStyle w:val="Strong"/>
          <w:b w:val="0"/>
        </w:rPr>
        <w:t>recover REs used for the other port</w:t>
      </w:r>
      <w:r>
        <w:rPr>
          <w:rStyle w:val="Strong"/>
          <w:b w:val="0"/>
        </w:rPr>
        <w:t>.</w:t>
      </w:r>
    </w:p>
    <w:p w:rsidR="008108CE" w:rsidRDefault="008108CE" w:rsidP="00A52322"/>
    <w:p w:rsidR="002868E0" w:rsidRDefault="003D2282" w:rsidP="00694CCF">
      <w:pPr>
        <w:pStyle w:val="Heading1"/>
        <w:numPr>
          <w:ilvl w:val="0"/>
          <w:numId w:val="4"/>
        </w:numPr>
        <w:ind w:hanging="720"/>
      </w:pPr>
      <w:r>
        <w:t>Simulation results</w:t>
      </w:r>
    </w:p>
    <w:p w:rsidR="003D2282" w:rsidRDefault="003D2282" w:rsidP="00694CCF">
      <w:r>
        <w:t xml:space="preserve">Our initial simulation results </w:t>
      </w:r>
      <w:r w:rsidR="00372BC8">
        <w:t xml:space="preserve">for PC3 RF requirements </w:t>
      </w:r>
      <w:r>
        <w:t>are provided in Table 1.</w:t>
      </w:r>
      <w:r w:rsidR="007B314C">
        <w:t xml:space="preserve"> </w:t>
      </w:r>
      <w:r w:rsidR="00881FB8">
        <w:t xml:space="preserve">The RF requirements that are limiting PA output power are highlighted in red. </w:t>
      </w:r>
      <w:r w:rsidR="007B314C">
        <w:t>Some observations are</w:t>
      </w:r>
    </w:p>
    <w:p w:rsidR="007B314C" w:rsidRDefault="004A6A03" w:rsidP="004A6A03">
      <w:r w:rsidRPr="00C82A04">
        <w:rPr>
          <w:rStyle w:val="Strong"/>
        </w:rPr>
        <w:t xml:space="preserve">Observation 1: </w:t>
      </w:r>
      <w:r>
        <w:rPr>
          <w:rStyle w:val="Strong"/>
        </w:rPr>
        <w:tab/>
      </w:r>
      <w:r w:rsidR="007B314C">
        <w:t xml:space="preserve">All 256QAM simulations are EVM limited. </w:t>
      </w:r>
    </w:p>
    <w:p w:rsidR="007B314C" w:rsidRDefault="004A6A03" w:rsidP="004A6A03">
      <w:r w:rsidRPr="00C82A04">
        <w:rPr>
          <w:rStyle w:val="Strong"/>
        </w:rPr>
        <w:t xml:space="preserve">Observation </w:t>
      </w:r>
      <w:r>
        <w:rPr>
          <w:rStyle w:val="Strong"/>
        </w:rPr>
        <w:t>2</w:t>
      </w:r>
      <w:r w:rsidRPr="00C82A04">
        <w:rPr>
          <w:rStyle w:val="Strong"/>
        </w:rPr>
        <w:t xml:space="preserve">: </w:t>
      </w:r>
      <w:r>
        <w:rPr>
          <w:rStyle w:val="Strong"/>
        </w:rPr>
        <w:tab/>
      </w:r>
      <w:r w:rsidR="007B314C">
        <w:t>For channel edge transmission, both ACLR and SEM / spurious</w:t>
      </w:r>
      <w:r w:rsidR="00B55F56">
        <w:t xml:space="preserve"> (except 256QAM)</w:t>
      </w:r>
      <w:r w:rsidR="007B314C">
        <w:t xml:space="preserve"> are limiting</w:t>
      </w:r>
      <w:r w:rsidR="00B55F56">
        <w:t xml:space="preserve"> PA output power</w:t>
      </w:r>
      <w:r w:rsidR="007B314C">
        <w:t>.</w:t>
      </w:r>
    </w:p>
    <w:p w:rsidR="00484B4B" w:rsidRDefault="004A6A03" w:rsidP="004A6A03">
      <w:r w:rsidRPr="00C82A04">
        <w:rPr>
          <w:rStyle w:val="Strong"/>
        </w:rPr>
        <w:t xml:space="preserve">Observation </w:t>
      </w:r>
      <w:r>
        <w:rPr>
          <w:rStyle w:val="Strong"/>
        </w:rPr>
        <w:t>3</w:t>
      </w:r>
      <w:r w:rsidRPr="00C82A04">
        <w:rPr>
          <w:rStyle w:val="Strong"/>
        </w:rPr>
        <w:t xml:space="preserve">: </w:t>
      </w:r>
      <w:r>
        <w:rPr>
          <w:rStyle w:val="Strong"/>
        </w:rPr>
        <w:tab/>
      </w:r>
      <w:r w:rsidR="00B55F56">
        <w:t>For full-BW transmission, ACLR (except 256QAM) is limiting PA output power.</w:t>
      </w:r>
    </w:p>
    <w:p w:rsidR="00484B4B" w:rsidRDefault="00484B4B" w:rsidP="00484B4B"/>
    <w:p w:rsidR="003D2282" w:rsidRDefault="003D2282" w:rsidP="003D2282">
      <w:pPr>
        <w:jc w:val="center"/>
        <w:rPr>
          <w:rStyle w:val="Strong"/>
        </w:rPr>
      </w:pPr>
      <w:proofErr w:type="gramStart"/>
      <w:r>
        <w:rPr>
          <w:rStyle w:val="Strong"/>
        </w:rPr>
        <w:t>Table 1</w:t>
      </w:r>
      <w:r w:rsidRPr="002868E0">
        <w:rPr>
          <w:rStyle w:val="Strong"/>
        </w:rPr>
        <w:t>.</w:t>
      </w:r>
      <w:proofErr w:type="gramEnd"/>
      <w:r w:rsidRPr="002868E0">
        <w:rPr>
          <w:rStyle w:val="Strong"/>
        </w:rPr>
        <w:t xml:space="preserve"> </w:t>
      </w:r>
      <w:proofErr w:type="gramStart"/>
      <w:r>
        <w:rPr>
          <w:rStyle w:val="Strong"/>
        </w:rPr>
        <w:t>sub6</w:t>
      </w:r>
      <w:proofErr w:type="gramEnd"/>
      <w:r>
        <w:rPr>
          <w:rStyle w:val="Strong"/>
        </w:rPr>
        <w:t xml:space="preserve"> MPR simulation results</w:t>
      </w:r>
    </w:p>
    <w:p w:rsidR="003D2282" w:rsidRDefault="003D2282" w:rsidP="00694CCF"/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576"/>
        <w:gridCol w:w="699"/>
        <w:gridCol w:w="574"/>
        <w:gridCol w:w="712"/>
        <w:gridCol w:w="874"/>
        <w:gridCol w:w="1111"/>
        <w:gridCol w:w="1290"/>
        <w:gridCol w:w="1253"/>
        <w:gridCol w:w="1679"/>
        <w:gridCol w:w="647"/>
        <w:gridCol w:w="573"/>
      </w:tblGrid>
      <w:tr w:rsidR="003D2282" w:rsidRPr="00456082" w:rsidTr="00484B4B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Test</w:t>
            </w:r>
            <w:r w:rsidR="007B314C"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Case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Waveform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SCS [KHz]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CHBW [MHz]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Mod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 xml:space="preserve">RB allocation [start RB, RB </w:t>
            </w:r>
            <w:proofErr w:type="spellStart"/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num</w:t>
            </w:r>
            <w:proofErr w:type="spellEnd"/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3D2282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ACLR feasible Pin (&lt;=) [</w:t>
            </w:r>
            <w:proofErr w:type="spellStart"/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dBm</w:t>
            </w:r>
            <w:proofErr w:type="spellEnd"/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3D2282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EVM feasible Pin (&lt;=)[</w:t>
            </w:r>
            <w:proofErr w:type="spellStart"/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dBm</w:t>
            </w:r>
            <w:proofErr w:type="spellEnd"/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3D2282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SEM&amp; Spurious feasible Pin (&lt;=) [</w:t>
            </w:r>
            <w:proofErr w:type="spellStart"/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dBm</w:t>
            </w:r>
            <w:proofErr w:type="spellEnd"/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Pout [</w:t>
            </w:r>
            <w:proofErr w:type="spellStart"/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dBm</w:t>
            </w:r>
            <w:proofErr w:type="spellEnd"/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MPR [dB]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Case 1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DFT-s-OFDM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[0,100]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-1.1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25.6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0.4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-1.6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-1.4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-1.7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-1.5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24.9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1.1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256QAM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-1.7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-9.1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-1.5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17.2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8.8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Case 2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DFT-s-OFDM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[0,18]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-0.2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-0.5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-0.7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-0.9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25.5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0.5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-0.8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-0.9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25.4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0.6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256QAM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-0.9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Case3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DFT-s-OFDM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[18,18]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26.6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-0.6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26.4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-0.4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-1.2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25.5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0.5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256QAM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-9.3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Case 4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DFT-s-OFDM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[1,270]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-1.5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25.2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0.8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-1.9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-0.1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-1.6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24.8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1.2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-1.9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-1.3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-1.7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24.7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1.3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256QAM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-9.6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-1.7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16.6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9.4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Case 5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OFDM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[0,106]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-3.1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-0.2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-2.3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23.6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2.4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-3.1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-1.5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-2.3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23.6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2.4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-3.1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-2.8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-2.3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23.6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2.4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256QAM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-3.1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-11.5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-2.3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14.7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11.3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Case 6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OFDM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[0,18]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-2.2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-0.2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-2.1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24.2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1.8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-2.2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-1.4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-2.1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24.2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1.8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-2.2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-2.6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-2.1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23.7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2.3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256QAM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-2.2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-11.4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-2.1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14.5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11.5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Case 7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OFDM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[18,18]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-0.5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25.7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0.3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-1.8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24.8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1.2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23.8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2.2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256QAM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-11.8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14.5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11.5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Case 8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OFDM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[0,273]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-3.2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-0.1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-0.3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23.4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2.6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56082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56082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56082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56082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A6A03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A6A03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56082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-3.2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-1.4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-0.3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23.4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2.6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56082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56082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56082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56082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A6A03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A6A03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56082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-3.2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-2.8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-0.3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23.4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2.6</w:t>
            </w:r>
          </w:p>
        </w:tc>
      </w:tr>
      <w:tr w:rsidR="003D2282" w:rsidRPr="00456082" w:rsidTr="00484B4B">
        <w:trPr>
          <w:trHeight w:val="3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56082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56082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56082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56082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A6A03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A6A03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256QAM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82" w:rsidRPr="00456082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-3.2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FF0000"/>
                <w:sz w:val="16"/>
                <w:szCs w:val="16"/>
                <w:lang w:eastAsia="zh-CN"/>
              </w:rPr>
              <w:t>-11.2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-0.3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14.9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282" w:rsidRPr="00484B4B" w:rsidRDefault="003D2282" w:rsidP="00D07E43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484B4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11.1</w:t>
            </w:r>
          </w:p>
        </w:tc>
      </w:tr>
    </w:tbl>
    <w:p w:rsidR="00694CCF" w:rsidRPr="00694CCF" w:rsidRDefault="00694CCF" w:rsidP="00694CCF">
      <w:r>
        <w:t xml:space="preserve"> </w:t>
      </w:r>
    </w:p>
    <w:p w:rsidR="002868E0" w:rsidRPr="00A52322" w:rsidRDefault="002868E0" w:rsidP="00A52322"/>
    <w:p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:rsidR="00172F1C" w:rsidRDefault="00172F1C" w:rsidP="00172F1C">
      <w:pPr>
        <w:rPr>
          <w:rFonts w:ascii="Arial" w:hAnsi="Arial" w:cs="Arial"/>
        </w:rPr>
      </w:pPr>
    </w:p>
    <w:p w:rsidR="00172F1C" w:rsidRDefault="00172F1C" w:rsidP="002258B2">
      <w:pPr>
        <w:pStyle w:val="Heading1"/>
        <w:numPr>
          <w:ilvl w:val="0"/>
          <w:numId w:val="4"/>
        </w:numPr>
        <w:ind w:hanging="720"/>
      </w:pPr>
      <w:r>
        <w:t>References</w:t>
      </w:r>
    </w:p>
    <w:p w:rsidR="00562C33" w:rsidRDefault="00562C33" w:rsidP="00562C33">
      <w:pPr>
        <w:ind w:left="810" w:hanging="810"/>
      </w:pPr>
      <w:r>
        <w:t>[1]</w:t>
      </w:r>
      <w:r>
        <w:tab/>
      </w:r>
      <w:r w:rsidR="00C96955" w:rsidRPr="00C96955">
        <w:rPr>
          <w:color w:val="000000"/>
        </w:rPr>
        <w:t>R4-1706980</w:t>
      </w:r>
      <w:r w:rsidR="002D41D2" w:rsidRPr="00A640A2">
        <w:rPr>
          <w:color w:val="000000"/>
        </w:rPr>
        <w:t>, “</w:t>
      </w:r>
      <w:r w:rsidR="00C96955" w:rsidRPr="00C96955">
        <w:rPr>
          <w:color w:val="000000"/>
        </w:rPr>
        <w:t>WF on MPR evalua</w:t>
      </w:r>
      <w:r w:rsidR="00C96955">
        <w:rPr>
          <w:color w:val="000000"/>
        </w:rPr>
        <w:t>tion assumption</w:t>
      </w:r>
      <w:r w:rsidR="002D41D2">
        <w:t>”,</w:t>
      </w:r>
      <w:r w:rsidR="002D41D2" w:rsidRPr="002D41D2">
        <w:t xml:space="preserve"> NTT DOCOMO, INC.</w:t>
      </w:r>
    </w:p>
    <w:p w:rsidR="00172F1C" w:rsidRDefault="006569A1" w:rsidP="00C96955">
      <w:pPr>
        <w:ind w:left="810" w:hanging="810"/>
      </w:pPr>
      <w:r>
        <w:t>[2]</w:t>
      </w:r>
      <w:r>
        <w:tab/>
      </w:r>
      <w:r w:rsidR="00E74BD0" w:rsidRPr="00E74BD0">
        <w:t>R4-1703528</w:t>
      </w:r>
      <w:r w:rsidR="00E74BD0">
        <w:t>,</w:t>
      </w:r>
      <w:r w:rsidR="00E74BD0" w:rsidRPr="00E74BD0">
        <w:rPr>
          <w:color w:val="000000"/>
        </w:rPr>
        <w:t xml:space="preserve"> </w:t>
      </w:r>
      <w:r w:rsidR="00E74BD0" w:rsidRPr="00A640A2">
        <w:rPr>
          <w:color w:val="000000"/>
        </w:rPr>
        <w:t>“</w:t>
      </w:r>
      <w:r w:rsidR="00E74BD0" w:rsidRPr="00E74BD0">
        <w:rPr>
          <w:color w:val="000000"/>
        </w:rPr>
        <w:t>Phase noise model for above 6 GHz</w:t>
      </w:r>
      <w:r w:rsidR="00E74BD0">
        <w:t xml:space="preserve">”, </w:t>
      </w:r>
      <w:r w:rsidR="00E74BD0" w:rsidRPr="00E74BD0">
        <w:t xml:space="preserve">Huawei, </w:t>
      </w:r>
      <w:proofErr w:type="spellStart"/>
      <w:r w:rsidR="00E74BD0" w:rsidRPr="00E74BD0">
        <w:t>Hisilicon</w:t>
      </w:r>
      <w:proofErr w:type="spellEnd"/>
    </w:p>
    <w:p w:rsidR="00E74BD0" w:rsidRDefault="00E74BD0" w:rsidP="00C96955">
      <w:pPr>
        <w:ind w:left="810" w:hanging="810"/>
      </w:pPr>
      <w:r>
        <w:t>[3]</w:t>
      </w:r>
      <w:r>
        <w:tab/>
      </w:r>
      <w:r w:rsidRPr="00E74BD0">
        <w:t>R4-164542</w:t>
      </w:r>
      <w:r>
        <w:t>,</w:t>
      </w:r>
      <w:r w:rsidR="001E72D3">
        <w:t xml:space="preserve"> “</w:t>
      </w:r>
      <w:r w:rsidR="001E72D3" w:rsidRPr="001E72D3">
        <w:t>Response LS on realistic power amplifier model for NR waveform evaluation</w:t>
      </w:r>
      <w:r w:rsidR="001E72D3">
        <w:t xml:space="preserve">”, </w:t>
      </w:r>
      <w:r w:rsidR="001E72D3" w:rsidRPr="001E72D3">
        <w:t>Nokia</w:t>
      </w:r>
    </w:p>
    <w:p w:rsidR="0095478B" w:rsidRDefault="0095478B" w:rsidP="00C96955">
      <w:pPr>
        <w:ind w:left="810" w:hanging="810"/>
      </w:pPr>
    </w:p>
    <w:p w:rsidR="0095478B" w:rsidRDefault="0095478B" w:rsidP="00C96955">
      <w:pPr>
        <w:ind w:left="810" w:hanging="810"/>
      </w:pPr>
    </w:p>
    <w:p w:rsidR="0095478B" w:rsidRDefault="0095478B" w:rsidP="0095478B">
      <w:pPr>
        <w:pStyle w:val="Heading1"/>
        <w:numPr>
          <w:ilvl w:val="0"/>
          <w:numId w:val="4"/>
        </w:numPr>
        <w:ind w:hanging="720"/>
      </w:pPr>
      <w:r>
        <w:t>Appendi</w:t>
      </w:r>
      <w:r w:rsidR="009E540A">
        <w:t>x</w:t>
      </w:r>
      <w:r>
        <w:t xml:space="preserve">: simulated operation curves </w:t>
      </w:r>
    </w:p>
    <w:p w:rsidR="0095478B" w:rsidRDefault="0095478B" w:rsidP="0095478B">
      <w:pPr>
        <w:pStyle w:val="ListParagraph"/>
        <w:numPr>
          <w:ilvl w:val="0"/>
          <w:numId w:val="13"/>
        </w:numPr>
      </w:pPr>
      <w:r>
        <w:t>Test case 1</w:t>
      </w:r>
    </w:p>
    <w:p w:rsidR="0095478B" w:rsidRDefault="0095478B" w:rsidP="0095478B">
      <w:r>
        <w:rPr>
          <w:noProof/>
          <w:lang w:val="en-US" w:eastAsia="zh-CN"/>
        </w:rPr>
        <w:lastRenderedPageBreak/>
        <w:drawing>
          <wp:inline distT="0" distB="0" distL="0" distR="0" wp14:anchorId="3E90D44C" wp14:editId="552D35AF">
            <wp:extent cx="5753735" cy="5503369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503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78B" w:rsidRDefault="0095478B" w:rsidP="0095478B">
      <w:pPr>
        <w:pStyle w:val="ListParagraph"/>
        <w:numPr>
          <w:ilvl w:val="0"/>
          <w:numId w:val="13"/>
        </w:numPr>
      </w:pPr>
      <w:r>
        <w:t>Test case 2</w:t>
      </w:r>
    </w:p>
    <w:p w:rsidR="0095478B" w:rsidRDefault="0095478B" w:rsidP="0095478B">
      <w:r>
        <w:rPr>
          <w:noProof/>
          <w:lang w:val="en-US" w:eastAsia="zh-CN"/>
        </w:rPr>
        <w:lastRenderedPageBreak/>
        <w:drawing>
          <wp:inline distT="0" distB="0" distL="0" distR="0" wp14:anchorId="42715EC1" wp14:editId="124CE656">
            <wp:extent cx="5753735" cy="5503369"/>
            <wp:effectExtent l="0" t="0" r="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503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78B" w:rsidRDefault="0095478B" w:rsidP="0095478B">
      <w:pPr>
        <w:pStyle w:val="ListParagraph"/>
        <w:numPr>
          <w:ilvl w:val="0"/>
          <w:numId w:val="13"/>
        </w:numPr>
      </w:pPr>
      <w:r>
        <w:t>Test case 3</w:t>
      </w:r>
    </w:p>
    <w:p w:rsidR="0095478B" w:rsidRDefault="0095478B" w:rsidP="0095478B">
      <w:r>
        <w:rPr>
          <w:noProof/>
          <w:lang w:val="en-US" w:eastAsia="zh-CN"/>
        </w:rPr>
        <w:lastRenderedPageBreak/>
        <w:drawing>
          <wp:inline distT="0" distB="0" distL="0" distR="0" wp14:anchorId="2B2D2B03" wp14:editId="7ED7EDA6">
            <wp:extent cx="5753735" cy="5503369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503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78B" w:rsidRDefault="0095478B" w:rsidP="0095478B">
      <w:pPr>
        <w:pStyle w:val="ListParagraph"/>
        <w:numPr>
          <w:ilvl w:val="0"/>
          <w:numId w:val="13"/>
        </w:numPr>
      </w:pPr>
      <w:r>
        <w:t>Test case 4</w:t>
      </w:r>
    </w:p>
    <w:p w:rsidR="0095478B" w:rsidRDefault="0095478B" w:rsidP="0095478B">
      <w:r>
        <w:rPr>
          <w:noProof/>
          <w:lang w:val="en-US" w:eastAsia="zh-CN"/>
        </w:rPr>
        <w:lastRenderedPageBreak/>
        <w:drawing>
          <wp:inline distT="0" distB="0" distL="0" distR="0" wp14:anchorId="3CC4F829" wp14:editId="6B71044D">
            <wp:extent cx="5753735" cy="5503369"/>
            <wp:effectExtent l="0" t="0" r="0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503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78B" w:rsidRDefault="0095478B" w:rsidP="0095478B">
      <w:pPr>
        <w:pStyle w:val="ListParagraph"/>
        <w:numPr>
          <w:ilvl w:val="0"/>
          <w:numId w:val="13"/>
        </w:numPr>
      </w:pPr>
      <w:r>
        <w:t>Test case 5</w:t>
      </w:r>
    </w:p>
    <w:p w:rsidR="0095478B" w:rsidRDefault="0095478B" w:rsidP="0095478B">
      <w:r>
        <w:rPr>
          <w:noProof/>
          <w:lang w:val="en-US" w:eastAsia="zh-CN"/>
        </w:rPr>
        <w:lastRenderedPageBreak/>
        <w:drawing>
          <wp:inline distT="0" distB="0" distL="0" distR="0" wp14:anchorId="69BEDBC8" wp14:editId="5A027161">
            <wp:extent cx="5753735" cy="5503369"/>
            <wp:effectExtent l="0" t="0" r="0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503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78B" w:rsidRDefault="0095478B" w:rsidP="0095478B">
      <w:pPr>
        <w:pStyle w:val="ListParagraph"/>
        <w:numPr>
          <w:ilvl w:val="0"/>
          <w:numId w:val="13"/>
        </w:numPr>
      </w:pPr>
      <w:r>
        <w:t>Test case 6</w:t>
      </w:r>
    </w:p>
    <w:p w:rsidR="0095478B" w:rsidRDefault="0095478B" w:rsidP="0095478B">
      <w:r>
        <w:rPr>
          <w:noProof/>
          <w:lang w:val="en-US" w:eastAsia="zh-CN"/>
        </w:rPr>
        <w:lastRenderedPageBreak/>
        <w:drawing>
          <wp:inline distT="0" distB="0" distL="0" distR="0" wp14:anchorId="2AC47B65" wp14:editId="4EBE8D69">
            <wp:extent cx="5753735" cy="5503369"/>
            <wp:effectExtent l="0" t="0" r="0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503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78B" w:rsidRDefault="0095478B" w:rsidP="0095478B">
      <w:pPr>
        <w:pStyle w:val="ListParagraph"/>
        <w:numPr>
          <w:ilvl w:val="0"/>
          <w:numId w:val="13"/>
        </w:numPr>
      </w:pPr>
      <w:r>
        <w:t>Test case 7</w:t>
      </w:r>
    </w:p>
    <w:p w:rsidR="0095478B" w:rsidRDefault="0095478B" w:rsidP="0095478B">
      <w:r>
        <w:rPr>
          <w:noProof/>
          <w:lang w:val="en-US" w:eastAsia="zh-CN"/>
        </w:rPr>
        <w:lastRenderedPageBreak/>
        <w:drawing>
          <wp:inline distT="0" distB="0" distL="0" distR="0" wp14:anchorId="7F43C610" wp14:editId="66125A9B">
            <wp:extent cx="5753735" cy="5503369"/>
            <wp:effectExtent l="0" t="0" r="0" b="254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503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78B" w:rsidRDefault="0095478B" w:rsidP="0095478B">
      <w:pPr>
        <w:pStyle w:val="ListParagraph"/>
        <w:numPr>
          <w:ilvl w:val="0"/>
          <w:numId w:val="13"/>
        </w:numPr>
      </w:pPr>
      <w:r>
        <w:t>Test case 8</w:t>
      </w:r>
    </w:p>
    <w:p w:rsidR="0095478B" w:rsidRDefault="0095478B" w:rsidP="0095478B">
      <w:r>
        <w:rPr>
          <w:noProof/>
          <w:lang w:val="en-US" w:eastAsia="zh-CN"/>
        </w:rPr>
        <w:lastRenderedPageBreak/>
        <w:drawing>
          <wp:inline distT="0" distB="0" distL="0" distR="0" wp14:anchorId="692AE3D1" wp14:editId="2D72BE44">
            <wp:extent cx="5753735" cy="5503369"/>
            <wp:effectExtent l="0" t="0" r="0" b="254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503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78B" w:rsidRPr="001865EE" w:rsidRDefault="0095478B" w:rsidP="00C96955">
      <w:pPr>
        <w:ind w:left="810" w:hanging="810"/>
      </w:pPr>
    </w:p>
    <w:sectPr w:rsidR="0095478B" w:rsidRPr="001865E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E5D" w:rsidRDefault="008B7E5D">
      <w:r>
        <w:separator/>
      </w:r>
    </w:p>
  </w:endnote>
  <w:endnote w:type="continuationSeparator" w:id="0">
    <w:p w:rsidR="008B7E5D" w:rsidRDefault="008B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E5D" w:rsidRDefault="008B7E5D">
      <w:r>
        <w:separator/>
      </w:r>
    </w:p>
  </w:footnote>
  <w:footnote w:type="continuationSeparator" w:id="0">
    <w:p w:rsidR="008B7E5D" w:rsidRDefault="008B7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17891"/>
    <w:multiLevelType w:val="multilevel"/>
    <w:tmpl w:val="F4E47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ED843BA"/>
    <w:multiLevelType w:val="hybridMultilevel"/>
    <w:tmpl w:val="9EF8306C"/>
    <w:lvl w:ilvl="0" w:tplc="0E0AD8BE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6F52621"/>
    <w:multiLevelType w:val="hybridMultilevel"/>
    <w:tmpl w:val="160E8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F846CC"/>
    <w:multiLevelType w:val="hybridMultilevel"/>
    <w:tmpl w:val="AD3A0FC4"/>
    <w:lvl w:ilvl="0" w:tplc="1F36D65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532F10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620C28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44E7EC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D5ECA6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1643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C8CCD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0641C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322B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48B209C6"/>
    <w:multiLevelType w:val="multilevel"/>
    <w:tmpl w:val="F4E47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FD57649"/>
    <w:multiLevelType w:val="hybridMultilevel"/>
    <w:tmpl w:val="28F6E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A15179"/>
    <w:multiLevelType w:val="hybridMultilevel"/>
    <w:tmpl w:val="C4DCC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D95D86"/>
    <w:multiLevelType w:val="hybridMultilevel"/>
    <w:tmpl w:val="BAE0D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92760A"/>
    <w:multiLevelType w:val="hybridMultilevel"/>
    <w:tmpl w:val="46E40B88"/>
    <w:lvl w:ilvl="0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71825CBB"/>
    <w:multiLevelType w:val="hybridMultilevel"/>
    <w:tmpl w:val="9578A106"/>
    <w:lvl w:ilvl="0" w:tplc="FE4C36E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96FDB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45A039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1CCD92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0AC9B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C68F1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5A2F4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A839A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86C26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12"/>
  </w:num>
  <w:num w:numId="7">
    <w:abstractNumId w:val="5"/>
  </w:num>
  <w:num w:numId="8">
    <w:abstractNumId w:val="0"/>
  </w:num>
  <w:num w:numId="9">
    <w:abstractNumId w:val="4"/>
  </w:num>
  <w:num w:numId="10">
    <w:abstractNumId w:val="11"/>
  </w:num>
  <w:num w:numId="11">
    <w:abstractNumId w:val="9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0030B"/>
    <w:rsid w:val="0000129A"/>
    <w:rsid w:val="0000552B"/>
    <w:rsid w:val="00010190"/>
    <w:rsid w:val="000157E5"/>
    <w:rsid w:val="000208D8"/>
    <w:rsid w:val="00070711"/>
    <w:rsid w:val="00071F0F"/>
    <w:rsid w:val="00076E7B"/>
    <w:rsid w:val="00080F0D"/>
    <w:rsid w:val="00082332"/>
    <w:rsid w:val="00083416"/>
    <w:rsid w:val="00086AB6"/>
    <w:rsid w:val="00090D2A"/>
    <w:rsid w:val="000971AE"/>
    <w:rsid w:val="00097E1F"/>
    <w:rsid w:val="000A1554"/>
    <w:rsid w:val="000B601E"/>
    <w:rsid w:val="000C0F32"/>
    <w:rsid w:val="000D6E95"/>
    <w:rsid w:val="000E0F2A"/>
    <w:rsid w:val="000E4632"/>
    <w:rsid w:val="000F2D80"/>
    <w:rsid w:val="000F77FF"/>
    <w:rsid w:val="00122A66"/>
    <w:rsid w:val="0015747F"/>
    <w:rsid w:val="00157E5D"/>
    <w:rsid w:val="00172C06"/>
    <w:rsid w:val="00172F1C"/>
    <w:rsid w:val="001865EE"/>
    <w:rsid w:val="001B3C21"/>
    <w:rsid w:val="001E72D3"/>
    <w:rsid w:val="001F582E"/>
    <w:rsid w:val="002258B2"/>
    <w:rsid w:val="0022661A"/>
    <w:rsid w:val="00235184"/>
    <w:rsid w:val="00256CA8"/>
    <w:rsid w:val="002635ED"/>
    <w:rsid w:val="00264D46"/>
    <w:rsid w:val="002774BA"/>
    <w:rsid w:val="002828B4"/>
    <w:rsid w:val="002868E0"/>
    <w:rsid w:val="002A2821"/>
    <w:rsid w:val="002B1181"/>
    <w:rsid w:val="002C1487"/>
    <w:rsid w:val="002C1B5B"/>
    <w:rsid w:val="002C2F0A"/>
    <w:rsid w:val="002D3296"/>
    <w:rsid w:val="002D41D2"/>
    <w:rsid w:val="002E04CF"/>
    <w:rsid w:val="002F7C65"/>
    <w:rsid w:val="003064F7"/>
    <w:rsid w:val="0032432A"/>
    <w:rsid w:val="003350A7"/>
    <w:rsid w:val="00341D85"/>
    <w:rsid w:val="00347D1D"/>
    <w:rsid w:val="003548A3"/>
    <w:rsid w:val="003565F1"/>
    <w:rsid w:val="00360E4B"/>
    <w:rsid w:val="00363555"/>
    <w:rsid w:val="00366A82"/>
    <w:rsid w:val="003671F3"/>
    <w:rsid w:val="00372BC8"/>
    <w:rsid w:val="00393F5F"/>
    <w:rsid w:val="00394D2B"/>
    <w:rsid w:val="003966FD"/>
    <w:rsid w:val="003A3D3B"/>
    <w:rsid w:val="003A4994"/>
    <w:rsid w:val="003B03BF"/>
    <w:rsid w:val="003D00F5"/>
    <w:rsid w:val="003D2282"/>
    <w:rsid w:val="003E56CF"/>
    <w:rsid w:val="0040024F"/>
    <w:rsid w:val="00405805"/>
    <w:rsid w:val="00417965"/>
    <w:rsid w:val="00417C79"/>
    <w:rsid w:val="004255C4"/>
    <w:rsid w:val="00435C55"/>
    <w:rsid w:val="00444D65"/>
    <w:rsid w:val="00456E99"/>
    <w:rsid w:val="00464506"/>
    <w:rsid w:val="00474458"/>
    <w:rsid w:val="004835B4"/>
    <w:rsid w:val="00484B4B"/>
    <w:rsid w:val="00492A63"/>
    <w:rsid w:val="004A6A03"/>
    <w:rsid w:val="004E382A"/>
    <w:rsid w:val="004E6DA3"/>
    <w:rsid w:val="004F6943"/>
    <w:rsid w:val="00506E33"/>
    <w:rsid w:val="0051317C"/>
    <w:rsid w:val="00520421"/>
    <w:rsid w:val="00532A42"/>
    <w:rsid w:val="00537171"/>
    <w:rsid w:val="00562C33"/>
    <w:rsid w:val="005720EA"/>
    <w:rsid w:val="00574AA4"/>
    <w:rsid w:val="00576E41"/>
    <w:rsid w:val="00580C09"/>
    <w:rsid w:val="005A1A1F"/>
    <w:rsid w:val="005C0154"/>
    <w:rsid w:val="005D1DB8"/>
    <w:rsid w:val="005D51C3"/>
    <w:rsid w:val="005D54C5"/>
    <w:rsid w:val="005E4584"/>
    <w:rsid w:val="005F032F"/>
    <w:rsid w:val="005F7180"/>
    <w:rsid w:val="0060349A"/>
    <w:rsid w:val="00610035"/>
    <w:rsid w:val="006165EA"/>
    <w:rsid w:val="00653E9F"/>
    <w:rsid w:val="006569A1"/>
    <w:rsid w:val="006574F5"/>
    <w:rsid w:val="00657898"/>
    <w:rsid w:val="00674CBC"/>
    <w:rsid w:val="00683D98"/>
    <w:rsid w:val="00693A0A"/>
    <w:rsid w:val="00694CCF"/>
    <w:rsid w:val="006A6F0A"/>
    <w:rsid w:val="006B1357"/>
    <w:rsid w:val="006B2909"/>
    <w:rsid w:val="006D7699"/>
    <w:rsid w:val="006E5228"/>
    <w:rsid w:val="006E5894"/>
    <w:rsid w:val="006E6B3E"/>
    <w:rsid w:val="006F5511"/>
    <w:rsid w:val="00705631"/>
    <w:rsid w:val="00711773"/>
    <w:rsid w:val="00712188"/>
    <w:rsid w:val="007270F6"/>
    <w:rsid w:val="00735D7B"/>
    <w:rsid w:val="00771E3D"/>
    <w:rsid w:val="00781E3D"/>
    <w:rsid w:val="00783366"/>
    <w:rsid w:val="007864D2"/>
    <w:rsid w:val="007B314C"/>
    <w:rsid w:val="007C169F"/>
    <w:rsid w:val="007D26FF"/>
    <w:rsid w:val="007D610C"/>
    <w:rsid w:val="007D7A86"/>
    <w:rsid w:val="007F2D24"/>
    <w:rsid w:val="0080050F"/>
    <w:rsid w:val="008108CE"/>
    <w:rsid w:val="0082635B"/>
    <w:rsid w:val="00826C5F"/>
    <w:rsid w:val="00834F77"/>
    <w:rsid w:val="00845640"/>
    <w:rsid w:val="00847DE3"/>
    <w:rsid w:val="008523D9"/>
    <w:rsid w:val="00852F15"/>
    <w:rsid w:val="00855168"/>
    <w:rsid w:val="00855231"/>
    <w:rsid w:val="00867001"/>
    <w:rsid w:val="00881FB8"/>
    <w:rsid w:val="008821A8"/>
    <w:rsid w:val="00891351"/>
    <w:rsid w:val="0089781C"/>
    <w:rsid w:val="008A7899"/>
    <w:rsid w:val="008A7C31"/>
    <w:rsid w:val="008B1928"/>
    <w:rsid w:val="008B1C1E"/>
    <w:rsid w:val="008B27B0"/>
    <w:rsid w:val="008B7E5D"/>
    <w:rsid w:val="008C0E11"/>
    <w:rsid w:val="008D36B0"/>
    <w:rsid w:val="008D4AF8"/>
    <w:rsid w:val="008D56FB"/>
    <w:rsid w:val="008D79B3"/>
    <w:rsid w:val="008E02E5"/>
    <w:rsid w:val="008E10E8"/>
    <w:rsid w:val="008E2031"/>
    <w:rsid w:val="008E267C"/>
    <w:rsid w:val="008E762A"/>
    <w:rsid w:val="00926218"/>
    <w:rsid w:val="00933555"/>
    <w:rsid w:val="00940151"/>
    <w:rsid w:val="0095478B"/>
    <w:rsid w:val="009673B4"/>
    <w:rsid w:val="009708A5"/>
    <w:rsid w:val="00976066"/>
    <w:rsid w:val="00977110"/>
    <w:rsid w:val="009920FF"/>
    <w:rsid w:val="00994B52"/>
    <w:rsid w:val="00996B28"/>
    <w:rsid w:val="009A03B3"/>
    <w:rsid w:val="009A11AA"/>
    <w:rsid w:val="009A3D35"/>
    <w:rsid w:val="009B1075"/>
    <w:rsid w:val="009B1C92"/>
    <w:rsid w:val="009B6B3E"/>
    <w:rsid w:val="009D021D"/>
    <w:rsid w:val="009D0C64"/>
    <w:rsid w:val="009E0B46"/>
    <w:rsid w:val="009E540A"/>
    <w:rsid w:val="009E73F0"/>
    <w:rsid w:val="00A0458B"/>
    <w:rsid w:val="00A31DFC"/>
    <w:rsid w:val="00A3239B"/>
    <w:rsid w:val="00A4593B"/>
    <w:rsid w:val="00A52322"/>
    <w:rsid w:val="00A640A2"/>
    <w:rsid w:val="00A677DF"/>
    <w:rsid w:val="00A67800"/>
    <w:rsid w:val="00A74F7C"/>
    <w:rsid w:val="00AA5307"/>
    <w:rsid w:val="00AA6973"/>
    <w:rsid w:val="00AA6F02"/>
    <w:rsid w:val="00AB6098"/>
    <w:rsid w:val="00AC3EAB"/>
    <w:rsid w:val="00AE74E8"/>
    <w:rsid w:val="00AF1E04"/>
    <w:rsid w:val="00B15DB0"/>
    <w:rsid w:val="00B258E1"/>
    <w:rsid w:val="00B379D3"/>
    <w:rsid w:val="00B40D50"/>
    <w:rsid w:val="00B55F56"/>
    <w:rsid w:val="00B739CB"/>
    <w:rsid w:val="00B84583"/>
    <w:rsid w:val="00B93628"/>
    <w:rsid w:val="00BA6DAD"/>
    <w:rsid w:val="00BB43FB"/>
    <w:rsid w:val="00BC2891"/>
    <w:rsid w:val="00BC4FE1"/>
    <w:rsid w:val="00BD60C0"/>
    <w:rsid w:val="00BE5FF2"/>
    <w:rsid w:val="00BF1C85"/>
    <w:rsid w:val="00BF5203"/>
    <w:rsid w:val="00C0102D"/>
    <w:rsid w:val="00C13B73"/>
    <w:rsid w:val="00C16857"/>
    <w:rsid w:val="00C213CC"/>
    <w:rsid w:val="00C263DE"/>
    <w:rsid w:val="00C331E8"/>
    <w:rsid w:val="00C36DA9"/>
    <w:rsid w:val="00C4181F"/>
    <w:rsid w:val="00C4758D"/>
    <w:rsid w:val="00C736A2"/>
    <w:rsid w:val="00C766D3"/>
    <w:rsid w:val="00C80A72"/>
    <w:rsid w:val="00C82A04"/>
    <w:rsid w:val="00C913D4"/>
    <w:rsid w:val="00C93D00"/>
    <w:rsid w:val="00C96955"/>
    <w:rsid w:val="00CA07FC"/>
    <w:rsid w:val="00CA25E0"/>
    <w:rsid w:val="00CA7E3D"/>
    <w:rsid w:val="00CC34D0"/>
    <w:rsid w:val="00CC79F5"/>
    <w:rsid w:val="00CD0FAB"/>
    <w:rsid w:val="00CD3BD4"/>
    <w:rsid w:val="00CD5405"/>
    <w:rsid w:val="00CF0C44"/>
    <w:rsid w:val="00CF7FE7"/>
    <w:rsid w:val="00D04FC8"/>
    <w:rsid w:val="00D14618"/>
    <w:rsid w:val="00D1584E"/>
    <w:rsid w:val="00D1596A"/>
    <w:rsid w:val="00D266DD"/>
    <w:rsid w:val="00D33DF6"/>
    <w:rsid w:val="00D358F8"/>
    <w:rsid w:val="00D60998"/>
    <w:rsid w:val="00D62027"/>
    <w:rsid w:val="00D7412E"/>
    <w:rsid w:val="00D87634"/>
    <w:rsid w:val="00DC0C3A"/>
    <w:rsid w:val="00DD30D1"/>
    <w:rsid w:val="00DD3A11"/>
    <w:rsid w:val="00DD4CEE"/>
    <w:rsid w:val="00E036F0"/>
    <w:rsid w:val="00E12E82"/>
    <w:rsid w:val="00E169A7"/>
    <w:rsid w:val="00E33856"/>
    <w:rsid w:val="00E33CC3"/>
    <w:rsid w:val="00E65021"/>
    <w:rsid w:val="00E6791F"/>
    <w:rsid w:val="00E74BD0"/>
    <w:rsid w:val="00EA0FFB"/>
    <w:rsid w:val="00EB193E"/>
    <w:rsid w:val="00EB4774"/>
    <w:rsid w:val="00EE53D6"/>
    <w:rsid w:val="00EF0B3E"/>
    <w:rsid w:val="00EF1763"/>
    <w:rsid w:val="00F11A02"/>
    <w:rsid w:val="00F215EB"/>
    <w:rsid w:val="00F219A7"/>
    <w:rsid w:val="00F23C0E"/>
    <w:rsid w:val="00F335FA"/>
    <w:rsid w:val="00F33A5F"/>
    <w:rsid w:val="00F42BDF"/>
    <w:rsid w:val="00F447F1"/>
    <w:rsid w:val="00F541E0"/>
    <w:rsid w:val="00F644F2"/>
    <w:rsid w:val="00F66822"/>
    <w:rsid w:val="00F71E90"/>
    <w:rsid w:val="00F81BC5"/>
    <w:rsid w:val="00F820C6"/>
    <w:rsid w:val="00F848BC"/>
    <w:rsid w:val="00F85EEA"/>
    <w:rsid w:val="00FD20F6"/>
    <w:rsid w:val="00FD55D8"/>
    <w:rsid w:val="00FD63B3"/>
    <w:rsid w:val="00FE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4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32432A"/>
    <w:pPr>
      <w:spacing w:after="120"/>
    </w:pPr>
  </w:style>
  <w:style w:type="character" w:customStyle="1" w:styleId="BodyTextChar">
    <w:name w:val="Body Text Char"/>
    <w:link w:val="BodyText"/>
    <w:uiPriority w:val="99"/>
    <w:rsid w:val="0032432A"/>
    <w:rPr>
      <w:lang w:val="en-GB"/>
    </w:rPr>
  </w:style>
  <w:style w:type="character" w:styleId="CommentReference">
    <w:name w:val="annotation reference"/>
    <w:uiPriority w:val="99"/>
    <w:semiHidden/>
    <w:unhideWhenUsed/>
    <w:rsid w:val="009D02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D021D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D021D"/>
    <w:rPr>
      <w:rFonts w:ascii="Arial" w:hAnsi="Arial"/>
      <w:b/>
      <w:bCs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E65021"/>
  </w:style>
  <w:style w:type="character" w:styleId="PlaceholderText">
    <w:name w:val="Placeholder Text"/>
    <w:basedOn w:val="DefaultParagraphFont"/>
    <w:uiPriority w:val="99"/>
    <w:semiHidden/>
    <w:rsid w:val="00F71E90"/>
    <w:rPr>
      <w:color w:val="808080"/>
    </w:rPr>
  </w:style>
  <w:style w:type="character" w:styleId="Strong">
    <w:name w:val="Strong"/>
    <w:basedOn w:val="DefaultParagraphFont"/>
    <w:uiPriority w:val="22"/>
    <w:qFormat/>
    <w:rsid w:val="00C82A0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74AA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20421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character" w:styleId="Hyperlink">
    <w:name w:val="Hyperlink"/>
    <w:uiPriority w:val="99"/>
    <w:unhideWhenUsed/>
    <w:rsid w:val="00520421"/>
    <w:rPr>
      <w:color w:val="0000FF"/>
      <w:u w:val="single"/>
    </w:rPr>
  </w:style>
  <w:style w:type="table" w:styleId="LightShading">
    <w:name w:val="Light Shading"/>
    <w:basedOn w:val="TableNormal"/>
    <w:uiPriority w:val="60"/>
    <w:rsid w:val="003671F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Grid">
    <w:name w:val="Light Grid"/>
    <w:basedOn w:val="TableNormal"/>
    <w:uiPriority w:val="62"/>
    <w:rsid w:val="003671F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12188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D41D2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2D41D2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4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32432A"/>
    <w:pPr>
      <w:spacing w:after="120"/>
    </w:pPr>
  </w:style>
  <w:style w:type="character" w:customStyle="1" w:styleId="BodyTextChar">
    <w:name w:val="Body Text Char"/>
    <w:link w:val="BodyText"/>
    <w:uiPriority w:val="99"/>
    <w:rsid w:val="0032432A"/>
    <w:rPr>
      <w:lang w:val="en-GB"/>
    </w:rPr>
  </w:style>
  <w:style w:type="character" w:styleId="CommentReference">
    <w:name w:val="annotation reference"/>
    <w:uiPriority w:val="99"/>
    <w:semiHidden/>
    <w:unhideWhenUsed/>
    <w:rsid w:val="009D02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D021D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D021D"/>
    <w:rPr>
      <w:rFonts w:ascii="Arial" w:hAnsi="Arial"/>
      <w:b/>
      <w:bCs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E65021"/>
  </w:style>
  <w:style w:type="character" w:styleId="PlaceholderText">
    <w:name w:val="Placeholder Text"/>
    <w:basedOn w:val="DefaultParagraphFont"/>
    <w:uiPriority w:val="99"/>
    <w:semiHidden/>
    <w:rsid w:val="00F71E90"/>
    <w:rPr>
      <w:color w:val="808080"/>
    </w:rPr>
  </w:style>
  <w:style w:type="character" w:styleId="Strong">
    <w:name w:val="Strong"/>
    <w:basedOn w:val="DefaultParagraphFont"/>
    <w:uiPriority w:val="22"/>
    <w:qFormat/>
    <w:rsid w:val="00C82A0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74AA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20421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character" w:styleId="Hyperlink">
    <w:name w:val="Hyperlink"/>
    <w:uiPriority w:val="99"/>
    <w:unhideWhenUsed/>
    <w:rsid w:val="00520421"/>
    <w:rPr>
      <w:color w:val="0000FF"/>
      <w:u w:val="single"/>
    </w:rPr>
  </w:style>
  <w:style w:type="table" w:styleId="LightShading">
    <w:name w:val="Light Shading"/>
    <w:basedOn w:val="TableNormal"/>
    <w:uiPriority w:val="60"/>
    <w:rsid w:val="003671F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Grid">
    <w:name w:val="Light Grid"/>
    <w:basedOn w:val="TableNormal"/>
    <w:uiPriority w:val="62"/>
    <w:rsid w:val="003671F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12188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D41D2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2D41D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5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223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340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6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744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564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Year>2013</b:Year>
    <b:BIBTEX_Entry>inproceedings</b:BIBTEX_Entry>
    <b:SourceType>ConferenceProceedings</b:SourceType>
    <b:Title>Millimeter-wave open ended SIW antenna with wide beam coverage</b:Title>
    <b:Tag>6710989</b:Tag>
    <b:BookTitle>2013 IEEE Antennas and Propagation Society International Symposium (APSURSI)</b:BookTitle>
    <b:BIBTEX_KeyWords>millimetre wave antennas;printed circuits;substrate integrated waveguides;waveguide antennas;E-plane;H-plane;SIW cavity mode;V-shaped notches;bandwidth 3.9 GHz;microstrip mode;millimeter-wave open ended SIW antenna;multilayer PCB fabrication;wide beam coverage;Antenna accessories;Antenna arrays;Antenna measurements;Antenna radiation patterns;Broadband antennas;Microstrip antennas</b:BIBTEX_KeyWords>
    <b:DOI>10.1109/APS.2013.6710989</b:DOI>
    <b:Author>
      <b:Author>
        <b:NameList>
          <b:Person>
            <b:Last>Zhou</b:Last>
            <b:First>H.</b:First>
          </b:Person>
          <b:Person>
            <b:Last>Aryanfar</b:Last>
            <b:First>F.</b:First>
          </b:Person>
        </b:NameList>
      </b:Author>
    </b:Author>
    <b:Pages>658-659</b:Pages>
    <b:Month>July</b:Month>
    <b:StandardNumber> ISSN: 1522-3965</b:StandardNumber>
    <b:ConferenceName>2013 IEEE Antennas and Propagation Society International Symposium (APSURSI)</b:ConferenceName>
    <b:RefOrder>1</b:RefOrder>
  </b:Source>
</b:Sources>
</file>

<file path=customXml/itemProps1.xml><?xml version="1.0" encoding="utf-8"?>
<ds:datastoreItem xmlns:ds="http://schemas.openxmlformats.org/officeDocument/2006/customXml" ds:itemID="{264EC734-53AB-4D3B-9EF8-92A786DB8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11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Samsung Research America - SMI Lab</Company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d.psycho@samsung.com</dc:creator>
  <cp:lastModifiedBy>Liangbin Li</cp:lastModifiedBy>
  <cp:revision>21</cp:revision>
  <cp:lastPrinted>2001-04-23T16:30:00Z</cp:lastPrinted>
  <dcterms:created xsi:type="dcterms:W3CDTF">2017-08-07T09:44:00Z</dcterms:created>
  <dcterms:modified xsi:type="dcterms:W3CDTF">2017-08-09T21:26:00Z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A27793D690CCD30776C89F226D19CB025330020F534F0B2F97CDEFCE03CFF312</vt:lpwstr>
  </property>
  <property fmtid="{D5CDD505-2E9C-101B-9397-08002B2CF9AE}" pid="2" name="NSCPROP">
    <vt:lpwstr>NSCCustomProperty</vt:lpwstr>
  </property>
  <property fmtid="{D5CDD505-2E9C-101B-9397-08002B2CF9AE}" pid="3" name="NSCPROP_SA">
    <vt:lpwstr>C:\mySingle\TEMP\R4-17xxxxx Dual Band Antenna Feasibility for mm Wave NR(1).docx</vt:lpwstr>
  </property>
</Properties>
</file>